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7FD7" w14:textId="77777777" w:rsidR="0071235B" w:rsidRPr="0071235B" w:rsidRDefault="0071235B" w:rsidP="007123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71235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71235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813 [905412]</w:t>
      </w:r>
    </w:p>
    <w:p w14:paraId="364412EE" w14:textId="77777777" w:rsidR="0071235B" w:rsidRPr="0071235B" w:rsidRDefault="0071235B" w:rsidP="007123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10-06-2021</w:t>
      </w:r>
    </w:p>
    <w:p w14:paraId="6C96F44C" w14:textId="77777777" w:rsidR="0071235B" w:rsidRPr="0071235B" w:rsidRDefault="0071235B" w:rsidP="007123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7626FE85" w14:textId="77777777" w:rsidR="0071235B" w:rsidRPr="0071235B" w:rsidRDefault="0071235B" w:rsidP="007123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FF"/>
          <w:sz w:val="22"/>
          <w:lang w:eastAsia="es-CO"/>
        </w:rPr>
        <w:t> </w:t>
      </w:r>
    </w:p>
    <w:p w14:paraId="50FF1858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sz w:val="22"/>
          <w:lang w:eastAsia="es-CO"/>
        </w:rPr>
        <w:t> </w:t>
      </w:r>
    </w:p>
    <w:p w14:paraId="6555D4B0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sz w:val="22"/>
          <w:lang w:eastAsia="es-CO"/>
        </w:rPr>
        <w:t>Subdirección de Gestión Normativa y Doctrina</w:t>
      </w:r>
    </w:p>
    <w:p w14:paraId="28CD5348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sz w:val="22"/>
          <w:lang w:eastAsia="es-CO"/>
        </w:rPr>
        <w:t>100208221-813</w:t>
      </w:r>
    </w:p>
    <w:p w14:paraId="6800C7D9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sz w:val="22"/>
          <w:lang w:eastAsia="es-CO"/>
        </w:rPr>
        <w:t>Bogotá, D.C.</w:t>
      </w:r>
    </w:p>
    <w:p w14:paraId="00FFAFBF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sz w:val="22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71"/>
        <w:gridCol w:w="271"/>
        <w:gridCol w:w="6699"/>
      </w:tblGrid>
      <w:tr w:rsidR="0071235B" w:rsidRPr="0071235B" w14:paraId="72FC721C" w14:textId="77777777" w:rsidTr="0071235B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D2AE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4211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57ED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D918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Denuncia penal</w:t>
            </w:r>
          </w:p>
          <w:p w14:paraId="484537D3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Rebajas de interés, sanciones y capital</w:t>
            </w:r>
          </w:p>
          <w:p w14:paraId="227B65C8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Aplicación de tasa de interés moratoria transitoria</w:t>
            </w:r>
          </w:p>
        </w:tc>
      </w:tr>
      <w:tr w:rsidR="0071235B" w:rsidRPr="0071235B" w14:paraId="4AF0F3B1" w14:textId="77777777" w:rsidTr="0071235B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8ED0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981B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115C8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D688F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Procesos de reorganización empresarial</w:t>
            </w:r>
          </w:p>
        </w:tc>
      </w:tr>
      <w:tr w:rsidR="0071235B" w:rsidRPr="0071235B" w14:paraId="3D9FE919" w14:textId="77777777" w:rsidTr="0071235B"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19A8E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F77A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DE82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FD3D" w14:textId="77777777" w:rsidR="0071235B" w:rsidRPr="0071235B" w:rsidRDefault="0071235B" w:rsidP="0071235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71235B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 67 Ley 906 de 2004, artículo 17 de la Ley 1116 de 2006, parágrafo 3 del artículo 5 del Decreto Legislativo 560 de 2020, artículo 1 del Decreto Legislativo 688 de 2020</w:t>
            </w:r>
          </w:p>
        </w:tc>
      </w:tr>
    </w:tbl>
    <w:p w14:paraId="3ABE390D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sz w:val="22"/>
          <w:lang w:eastAsia="es-CO"/>
        </w:rPr>
        <w:t> </w:t>
      </w:r>
    </w:p>
    <w:p w14:paraId="2E9F80D0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81D8447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saludo,</w:t>
      </w:r>
    </w:p>
    <w:p w14:paraId="5F687407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5382163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15659B93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60E0A40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el radicado de la referencia la peticionaria solicita respuesta a varias inquietudes desagregadas, que se atenderán en su orden, y no sin antes reiterar que a este Despacho no le corresponde pronunciarse sobre situaciones de carácter particular ni prestar asesoría específica.</w:t>
      </w:r>
    </w:p>
    <w:p w14:paraId="13AC2DC4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14:paraId="4F647D10" w14:textId="77777777" w:rsidR="0071235B" w:rsidRPr="0071235B" w:rsidRDefault="0071235B" w:rsidP="0071235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1. ¿Pueden los funcionarios de la DIAN, presentar denuncia penal, a un empresario que representa a una sociedad en proceso de reorganización empresarial?</w:t>
      </w:r>
    </w:p>
    <w:p w14:paraId="5D1EA5E1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BCE851F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El artículo 67 de la Ley 906 de 2004 señala que: 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Toda persona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debe denunciar a la autoridad los delitos de cuya comisión tenga conocimiento y que deban investigarse de oficio.</w:t>
      </w:r>
    </w:p>
    <w:p w14:paraId="3CD5F50A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7726675B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 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servidor público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que conozca de la comisión de un delito que deba investigarse de oficio, iniciará sin tardanza la investigación si tuviere competencia para ello; en caso contrario, 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pondrá inmediatamente el hecho en conocimiento ante la autoridad competente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”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 (Subrayado por fuera de texto).</w:t>
      </w:r>
    </w:p>
    <w:p w14:paraId="17580F63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8531039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Así pues, es claro que los servidores públicos, incluidos los funcionarios de la Dirección de Impuestos y Aduanas Nacionales-DIAN, deben poner en conocimiento de la autoridad competente la posible comisión de un delito.</w:t>
      </w:r>
    </w:p>
    <w:p w14:paraId="15A22A95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94861BC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Ahora, nótese que la obligación legal de denuncia no genera para el respectivo funcionario público el deber de determinar si en el caso particular hay efectivamente lugar a la acción penal o no, ya que esto siempre dependerá de la valoración jurídica y probatoria que efectúe el funcionario competente (i.e., </w:t>
      </w:r>
      <w:proofErr w:type="gramStart"/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Fiscalía General</w:t>
      </w:r>
      <w:proofErr w:type="gramEnd"/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de la Nación).</w:t>
      </w:r>
    </w:p>
    <w:p w14:paraId="38DA2757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14:paraId="2423F75E" w14:textId="77777777" w:rsidR="0071235B" w:rsidRPr="0071235B" w:rsidRDefault="0071235B" w:rsidP="0071235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2. De acuerdo con el contenido del parágrafo 3 del artículo 5 del Decreto Ley 560 de 2020, ¿la DIAN puede hacer rebajas de sanciones, intereses y capital?</w:t>
      </w:r>
    </w:p>
    <w:p w14:paraId="12D5A4EC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924A80F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El artículo 5º del Decreto Legislativo 560 de 2020, mediante el cual se adoptaron medidas transitorias especiales en materia de procesos de insolvencia, en el marco del Estado de Emergencia, Social y Ecológica decretado mediante Decreto Legislativo 417 de 2020, establece unos estímulos a la financiación del deudor durante la negociación de un acuerdo de reorganización en el marco de las causas que motivaron el Estado de Emergencia Económica, Social y Ecológica de que trata el Decreto 417 mencionado.</w:t>
      </w:r>
    </w:p>
    <w:p w14:paraId="7E50155F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150DA1E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manera particular, el parágrafo 3 del artículo 5º </w:t>
      </w:r>
      <w:proofErr w:type="spellStart"/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señala que “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 efectos de preservar la empresa y el empleo, 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la Dirección de Impuestos y Aduanas Nacionales - DIAN y las entidades del Estado podrán hacer rebajas de sanciones, intereses y capital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. Las acreencias de primera clase a favor de estas entidades públicas quedarán subordinadas en el pago dentro de dicha clase, respecto de las acreencias que mejoren su prelación, como consecuencia de la financiación a la empresa en reorganización, por parte de los titulares de acreencias afectas al concurso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”. (Subrayado por fuera de texto)</w:t>
      </w:r>
    </w:p>
    <w:p w14:paraId="75CC8D6F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35AC1AD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Así, en efecto, la DIAN puede otorgar rebajas de sanciones, intereses y capital, dada la facultad expresa de la norma en estudio y conforme a sus competencias, condiciones y requisitos que sean aplicables en los términos legales para los procesos de reorganización empresarial señalados por el Decreto 560 de 2020.</w:t>
      </w:r>
    </w:p>
    <w:p w14:paraId="0BC4E87C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1C17A056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Ahora, debe resaltarse que la expresión “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rebajas de sanciones, intereses y capital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” fue declarada exequible condicionalmente por la Honorable Corte Constitucional mediante Sentencia C-237 de 2020, en la cual la Corte señaló que la misma no significa, en ningún caso, la posibilidad de la condonación de deudas fiscales.</w:t>
      </w:r>
    </w:p>
    <w:p w14:paraId="516EBB10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14:paraId="200B3B04" w14:textId="77777777" w:rsidR="0071235B" w:rsidRPr="0071235B" w:rsidRDefault="0071235B" w:rsidP="0071235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3. La tasa de interés moratoria transitoria establecida en el artículo 1 del Decreto Legislativo 688 de 2020, cuya petición se haya solicitado aplicar a la DIAN a un caso concreto, ¿quién la debe resolver?</w:t>
      </w:r>
    </w:p>
    <w:p w14:paraId="69E3D900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508B8F4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El Decreto Legislativo 688 de 2020, por el cual se adoptan medidas tributarias transitorias en el marco del Estado de Emergencia Económica, Social y Ecológica de conformidad con el Decreto 637 de 2020, en su artículo 1º estableció 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es-CO"/>
        </w:rPr>
        <w:t>una tasa de interés moratorio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es-CO"/>
        </w:rPr>
        <w:t>transitoria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para obligaciones tributarias de competencia de la DIAN y las relacionadas con el Sistema General de la Protección Social a cargo de la UGPP que se paguen, y para las facilidades o acuerdos de pago que se suscriban desde la vigencia de la norma </w:t>
      </w:r>
      <w:proofErr w:type="spellStart"/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1AAC4E52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F4565EC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particular, el artículo 1º </w:t>
      </w:r>
      <w:proofErr w:type="spellStart"/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señala: “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(…) La tasa de interés de mora establecida en el </w:t>
      </w:r>
      <w:hyperlink r:id="rId4" w:tooltip="Estatuto Tributario CETA" w:history="1">
        <w:r w:rsidRPr="0071235B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artículo 635</w:t>
        </w:r>
      </w:hyperlink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 será liquidada diariamente a una tasa de interés diario que sea equivalente a la 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tasa de interés bancario corriente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para la modalidad de créditos de consumo y ordinario, certificado por la Superintendencia Financiera de Colombia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0463E92D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14:paraId="07F5200B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En el caso de los contribuyentes con 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u w:val="single"/>
          <w:lang w:eastAsia="es-CO"/>
        </w:rPr>
        <w:t>actividades económicas especialmente afectadas por la emergencia sanitaria</w:t>
      </w:r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a los que se refiere el parágrafo 3 del artículo 1.6.1.13.2.11. y el parágrafo 4 del artículo 1.6.1.13.2.12. del Decreto 1625 de 2016, para las obligaciones tributarias que se paguen y para las facilidades o acuerdos de pago, desde la vigencia de este decreto y hasta el treinta (30) de noviembre de 2020, la tasa de interés de mora establecida en el </w:t>
      </w:r>
      <w:hyperlink r:id="rId5" w:tooltip="Estatuto Tributario CETA" w:history="1">
        <w:r w:rsidRPr="0071235B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artículo 635</w:t>
        </w:r>
      </w:hyperlink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Tributario, será liquidada diariamente a una tasa de interés diario que sea equivalente al cincuenta por ciento (50%) de la tasa de interés bancario corriente para la modalidad de créditos de consumo y ordinario, certificado por la Superintendencia Financiera de Colombia”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 (Subrayado por fuera de texto).</w:t>
      </w:r>
    </w:p>
    <w:p w14:paraId="61DAFE6A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95F2018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Nótese que, en la medida en que el otorgamiento del beneficio del artículo 1º </w:t>
      </w:r>
      <w:proofErr w:type="spellStart"/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proofErr w:type="spellEnd"/>
      <w:r w:rsidRPr="0071235B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tiene un componente de recaudo y cobranza, el mismo será de competencia del área de Recaudo y Cobranzas de cada Dirección Seccional, bajo los parámetros, condiciones y requisitos que la Ley exige. En ese sentido, cualquier solicitud de aplicación de norma, procedimiento, acuerdo, facilidad de pago o caso concreto, deberá dirigirse directamente a dicha área en la Seccional de Impuestos y/o Aduanas Naciones, en donde efectuó su radicación para que se verifique el estado en que se encuentra su petición y sea debidamente resuelta.</w:t>
      </w:r>
    </w:p>
    <w:p w14:paraId="415F0EA9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6C25058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Finalmente, se envía a la Dirección de Gestión Ingresos copia de la solicitud inicial para que conozca de primer plano lo expuesto por la peticionaria, y se revise la trazabilidad de la solicitud que dice haber realizado a la Dirección Seccional de Impuestos de Medellín.</w:t>
      </w:r>
    </w:p>
    <w:p w14:paraId="17912FD7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7E505ED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los anteriores términos se resuelve su solicitud y finalmente le manifestamos que la Dirección de Impuestos y Aduanas Nacionales -DIAN-, con el fin de facilitar a los contribuyentes, usuarios y público en general el acceso directo a sus pronunciamientos doctrinarios, ha publicado en su página de internet </w:t>
      </w:r>
      <w:hyperlink r:id="rId6" w:history="1">
        <w:r w:rsidRPr="0071235B">
          <w:rPr>
            <w:rFonts w:ascii="Segoe UI" w:eastAsia="Times New Roman" w:hAnsi="Segoe UI" w:cs="Segoe UI"/>
            <w:color w:val="0563C1"/>
            <w:sz w:val="18"/>
            <w:szCs w:val="18"/>
            <w:lang w:eastAsia="es-CO"/>
          </w:rPr>
          <w:t>www.dian.gov.co</w:t>
        </w:r>
      </w:hyperlink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, la base de conceptos en materia tributaria, aduanera y cambiaria expedidos desde el año 2001, la cual se puede ingresar por el ícono de “Normatividad”–“técnica”–, dando </w:t>
      </w:r>
      <w:proofErr w:type="spellStart"/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click</w:t>
      </w:r>
      <w:proofErr w:type="spellEnd"/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en el link “Doctrina Dirección de Gestión Jurídica”.</w:t>
      </w:r>
    </w:p>
    <w:p w14:paraId="68211F20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9B3FA25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68905061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03688B82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5CBCADC7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NICOLÁS BERNAL ABELLA</w:t>
      </w:r>
    </w:p>
    <w:p w14:paraId="4D6383EF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 (E)</w:t>
      </w:r>
    </w:p>
    <w:p w14:paraId="7DC93D17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2C399052" w14:textId="77777777" w:rsidR="0071235B" w:rsidRPr="0071235B" w:rsidRDefault="0071235B" w:rsidP="007123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1235B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 Dirección de Impuestos y Aduanas Nacionales</w:t>
      </w:r>
    </w:p>
    <w:p w14:paraId="395BB43F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5B"/>
    <w:rsid w:val="000F3837"/>
    <w:rsid w:val="001E311E"/>
    <w:rsid w:val="00434AE6"/>
    <w:rsid w:val="0071235B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1B16"/>
  <w15:chartTrackingRefBased/>
  <w15:docId w15:val="{3879BBC7-A73C-4DC6-A402-BC6E057E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an.gov.co/" TargetMode="External"/><Relationship Id="rId5" Type="http://schemas.openxmlformats.org/officeDocument/2006/relationships/hyperlink" Target="https://www.ceta.org.co/html/vista_de_un_articulo.asp?Norma=790" TargetMode="External"/><Relationship Id="rId4" Type="http://schemas.openxmlformats.org/officeDocument/2006/relationships/hyperlink" Target="https://www.ceta.org.co/html/vista_de_un_articulo.asp?Norma=79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1266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2021-07-29T01:58:00Z</dcterms:created>
  <dcterms:modified xsi:type="dcterms:W3CDTF">2021-07-29T02:01:00Z</dcterms:modified>
</cp:coreProperties>
</file>